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bookmarkStart w:id="0" w:name="_Toc28854"/>
      <w:r>
        <w:rPr>
          <w:rFonts w:hint="eastAsia"/>
          <w:sz w:val="72"/>
          <w:szCs w:val="72"/>
        </w:rPr>
        <w:t>校外人员进校操作手册</w:t>
      </w:r>
      <w:bookmarkEnd w:id="0"/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sdt>
      <w:sdtPr>
        <w:rPr>
          <w:rFonts w:ascii="宋体" w:hAnsi="宋体" w:eastAsia="宋体"/>
        </w:rPr>
        <w:id w:val="147464294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/>
          <w:b/>
        </w:rPr>
      </w:sdtEndPr>
      <w:sdtContent>
        <w:p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12"/>
            <w:tabs>
              <w:tab w:val="right" w:leader="dot" w:pos="8306"/>
            </w:tabs>
            <w:rPr>
              <w:b/>
            </w:rPr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"1-2" \h \u </w:instrText>
          </w:r>
          <w:r>
            <w:rPr>
              <w:rFonts w:hint="eastAsia"/>
            </w:rPr>
            <w:fldChar w:fldCharType="separate"/>
          </w:r>
          <w:r>
            <w:fldChar w:fldCharType="begin"/>
          </w:r>
          <w:r>
            <w:instrText xml:space="preserve"> HYPERLINK \l "_Toc28854" </w:instrText>
          </w:r>
          <w:r>
            <w:fldChar w:fldCharType="separate"/>
          </w:r>
          <w:r>
            <w:rPr>
              <w:rFonts w:hint="eastAsia"/>
              <w:b/>
            </w:rPr>
            <w:t>访客系统操作手册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_Toc28854 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b/>
            </w:rPr>
          </w:pPr>
          <w:r>
            <w:fldChar w:fldCharType="begin"/>
          </w:r>
          <w:r>
            <w:instrText xml:space="preserve"> HYPERLINK \l "_Toc11572" </w:instrText>
          </w:r>
          <w:r>
            <w:fldChar w:fldCharType="separate"/>
          </w:r>
          <w:r>
            <w:rPr>
              <w:b/>
            </w:rPr>
            <w:t xml:space="preserve">1. </w:t>
          </w:r>
          <w:r>
            <w:rPr>
              <w:rFonts w:hint="eastAsia"/>
              <w:b/>
            </w:rPr>
            <w:t>电脑端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_Toc11572 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ind w:left="420"/>
          </w:pPr>
          <w:r>
            <w:fldChar w:fldCharType="begin"/>
          </w:r>
          <w:r>
            <w:instrText xml:space="preserve"> HYPERLINK \l "_Toc22893" </w:instrText>
          </w:r>
          <w:r>
            <w:fldChar w:fldCharType="separate"/>
          </w:r>
          <w:r>
            <w:t xml:space="preserve">1.1. </w:t>
          </w:r>
          <w:r>
            <w:rPr>
              <w:rFonts w:hint="eastAsia"/>
            </w:rPr>
            <w:t>入口</w:t>
          </w:r>
          <w:r>
            <w:tab/>
          </w:r>
          <w:r>
            <w:fldChar w:fldCharType="begin"/>
          </w:r>
          <w:r>
            <w:instrText xml:space="preserve"> PAGEREF _Toc22893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  <w:ind w:left="420"/>
          </w:pPr>
          <w:r>
            <w:fldChar w:fldCharType="begin"/>
          </w:r>
          <w:r>
            <w:instrText xml:space="preserve"> HYPERLINK \l "_Toc6611" </w:instrText>
          </w:r>
          <w:r>
            <w:fldChar w:fldCharType="separate"/>
          </w:r>
          <w:r>
            <w:t xml:space="preserve">1.2. </w:t>
          </w:r>
          <w:r>
            <w:rPr>
              <w:rFonts w:hint="eastAsia"/>
            </w:rPr>
            <w:t>申请</w:t>
          </w:r>
          <w:r>
            <w:tab/>
          </w:r>
          <w:r>
            <w:fldChar w:fldCharType="begin"/>
          </w:r>
          <w:r>
            <w:instrText xml:space="preserve"> PAGEREF _Toc6611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  <w:ind w:left="420"/>
          </w:pPr>
          <w:r>
            <w:fldChar w:fldCharType="begin"/>
          </w:r>
          <w:r>
            <w:instrText xml:space="preserve"> HYPERLINK \l "_Toc2782" </w:instrText>
          </w:r>
          <w:r>
            <w:fldChar w:fldCharType="separate"/>
          </w:r>
          <w:r>
            <w:t xml:space="preserve">1.3. </w:t>
          </w:r>
          <w:r>
            <w:rPr>
              <w:rFonts w:hint="eastAsia"/>
            </w:rPr>
            <w:t>审核</w:t>
          </w:r>
          <w:r>
            <w:tab/>
          </w:r>
          <w:r>
            <w:fldChar w:fldCharType="begin"/>
          </w:r>
          <w:r>
            <w:instrText xml:space="preserve"> PAGEREF _Toc2782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b/>
            </w:rPr>
          </w:pPr>
          <w:r>
            <w:fldChar w:fldCharType="begin"/>
          </w:r>
          <w:r>
            <w:instrText xml:space="preserve"> HYPERLINK \l "_Toc23737" </w:instrText>
          </w:r>
          <w:r>
            <w:fldChar w:fldCharType="separate"/>
          </w:r>
          <w:r>
            <w:rPr>
              <w:b/>
            </w:rPr>
            <w:t xml:space="preserve">2. </w:t>
          </w:r>
          <w:r>
            <w:rPr>
              <w:rFonts w:hint="eastAsia"/>
              <w:b/>
            </w:rPr>
            <w:t>手机端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_Toc23737 </w:instrText>
          </w:r>
          <w:r>
            <w:rPr>
              <w:b/>
            </w:rPr>
            <w:fldChar w:fldCharType="separate"/>
          </w:r>
          <w:r>
            <w:rPr>
              <w:b/>
            </w:rPr>
            <w:t>6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ind w:left="420"/>
          </w:pPr>
          <w:r>
            <w:fldChar w:fldCharType="begin"/>
          </w:r>
          <w:r>
            <w:instrText xml:space="preserve"> HYPERLINK \l "_Toc1309" </w:instrText>
          </w:r>
          <w:r>
            <w:fldChar w:fldCharType="separate"/>
          </w:r>
          <w:r>
            <w:t xml:space="preserve">2.1. </w:t>
          </w:r>
          <w:r>
            <w:rPr>
              <w:rFonts w:hint="eastAsia"/>
            </w:rPr>
            <w:t>入口</w:t>
          </w:r>
          <w:r>
            <w:tab/>
          </w:r>
          <w:r>
            <w:fldChar w:fldCharType="begin"/>
          </w:r>
          <w:r>
            <w:instrText xml:space="preserve"> PAGEREF _Toc1309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  <w:ind w:left="420"/>
          </w:pPr>
          <w:r>
            <w:fldChar w:fldCharType="begin"/>
          </w:r>
          <w:r>
            <w:instrText xml:space="preserve"> HYPERLINK \l "_Toc19269" </w:instrText>
          </w:r>
          <w:r>
            <w:fldChar w:fldCharType="separate"/>
          </w:r>
          <w:r>
            <w:t xml:space="preserve">2.2. </w:t>
          </w:r>
          <w:r>
            <w:rPr>
              <w:rFonts w:hint="eastAsia"/>
            </w:rPr>
            <w:t>申请</w:t>
          </w:r>
          <w:r>
            <w:tab/>
          </w:r>
          <w:r>
            <w:fldChar w:fldCharType="begin"/>
          </w:r>
          <w:r>
            <w:instrText xml:space="preserve"> PAGEREF _Toc19269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  <w:ind w:left="420"/>
          </w:pPr>
          <w:r>
            <w:fldChar w:fldCharType="begin"/>
          </w:r>
          <w:r>
            <w:instrText xml:space="preserve"> HYPERLINK \l "_Toc12103" </w:instrText>
          </w:r>
          <w:r>
            <w:fldChar w:fldCharType="separate"/>
          </w:r>
          <w:r>
            <w:t xml:space="preserve">2.3. </w:t>
          </w:r>
          <w:r>
            <w:rPr>
              <w:rFonts w:hint="eastAsia"/>
            </w:rPr>
            <w:t>审核</w:t>
          </w:r>
          <w:r>
            <w:tab/>
          </w:r>
          <w:r>
            <w:fldChar w:fldCharType="begin"/>
          </w:r>
          <w:r>
            <w:instrText xml:space="preserve"> PAGEREF _Toc12103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  <w:ind w:left="420"/>
          </w:pPr>
          <w:r>
            <w:fldChar w:fldCharType="begin"/>
          </w:r>
          <w:r>
            <w:instrText xml:space="preserve"> HYPERLINK \l "_Toc17029" </w:instrText>
          </w:r>
          <w:r>
            <w:fldChar w:fldCharType="separate"/>
          </w:r>
          <w:r>
            <w:t xml:space="preserve">2.4. </w:t>
          </w:r>
          <w:r>
            <w:rPr>
              <w:rFonts w:hint="eastAsia"/>
            </w:rPr>
            <w:t>统计</w:t>
          </w:r>
          <w:r>
            <w:tab/>
          </w:r>
          <w:r>
            <w:fldChar w:fldCharType="begin"/>
          </w:r>
          <w:r>
            <w:instrText xml:space="preserve"> PAGEREF _Toc17029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r>
            <w:rPr>
              <w:rFonts w:hint="eastAsia"/>
              <w:b/>
            </w:rPr>
            <w:fldChar w:fldCharType="end"/>
          </w:r>
        </w:p>
      </w:sdtContent>
    </w:sdt>
    <w:p>
      <w:bookmarkStart w:id="1" w:name="_Toc11572"/>
    </w:p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  <w:numPr>
          <w:ilvl w:val="0"/>
          <w:numId w:val="1"/>
        </w:numPr>
      </w:pPr>
      <w:r>
        <w:rPr>
          <w:rFonts w:hint="eastAsia"/>
        </w:rPr>
        <w:t>电脑端</w:t>
      </w:r>
      <w:bookmarkEnd w:id="1"/>
      <w:r>
        <w:rPr>
          <w:rFonts w:hint="eastAsia"/>
        </w:rPr>
        <w:t>（校内老师帮申请）</w:t>
      </w:r>
    </w:p>
    <w:p>
      <w:pPr>
        <w:pStyle w:val="3"/>
        <w:numPr>
          <w:ilvl w:val="1"/>
          <w:numId w:val="1"/>
        </w:numPr>
      </w:pPr>
      <w:bookmarkStart w:id="2" w:name="_Toc22893"/>
      <w:r>
        <w:rPr>
          <w:rFonts w:hint="eastAsia"/>
        </w:rPr>
        <w:t>入口</w:t>
      </w:r>
      <w:bookmarkEnd w:id="2"/>
    </w:p>
    <w:p>
      <w:r>
        <w:rPr>
          <w:rFonts w:hint="eastAsia"/>
        </w:rPr>
        <w:t>使用学校统一身份认证账号，登录学校综合服务平台，系统地址ehall.sbs.edu.cn</w:t>
      </w:r>
    </w:p>
    <w:p>
      <w:r>
        <w:drawing>
          <wp:inline distT="0" distB="0" distL="114300" distR="114300">
            <wp:extent cx="5266690" cy="3121025"/>
            <wp:effectExtent l="0" t="0" r="63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进入到首页后，点击服务按钮，搜索《校外人员进校》应用，点击图标即可。</w:t>
      </w:r>
    </w:p>
    <w:p>
      <w:r>
        <w:drawing>
          <wp:inline distT="0" distB="0" distL="0" distR="0">
            <wp:extent cx="5274310" cy="285877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</w:pPr>
      <w:bookmarkStart w:id="3" w:name="_Toc6611"/>
      <w:r>
        <w:rPr>
          <w:rFonts w:hint="eastAsia"/>
        </w:rPr>
        <w:t>申请</w:t>
      </w:r>
      <w:bookmarkEnd w:id="3"/>
    </w:p>
    <w:p>
      <w:r>
        <w:rPr>
          <w:rFonts w:hint="eastAsia"/>
        </w:rPr>
        <w:t>点击应用后，进入到应用首页</w:t>
      </w:r>
    </w:p>
    <w:p/>
    <w:p>
      <w:r>
        <w:rPr>
          <w:rFonts w:hint="eastAsia"/>
        </w:rPr>
        <w:t>申请记录：页面列表可以查看自己以往的申请记录；</w:t>
      </w:r>
    </w:p>
    <w:p>
      <w:r>
        <w:rPr>
          <w:rFonts w:hint="eastAsia"/>
        </w:rPr>
        <w:t>详情：根据申请记录条目，点击详情可以查看某一条申请记录的具体内容；</w:t>
      </w:r>
    </w:p>
    <w:p>
      <w:r>
        <w:rPr>
          <w:rFonts w:hint="eastAsia"/>
        </w:rPr>
        <w:t>查看校外人员，点击查看按钮后系统弹框，可以查询审核通过的访客人员；</w:t>
      </w:r>
    </w:p>
    <w:p>
      <w:r>
        <w:drawing>
          <wp:inline distT="0" distB="0" distL="114300" distR="114300">
            <wp:extent cx="5266690" cy="3121025"/>
            <wp:effectExtent l="0" t="0" r="63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color w:val="FF0000"/>
        </w:rPr>
      </w:pPr>
      <w:r>
        <w:rPr>
          <w:rFonts w:hint="eastAsia"/>
        </w:rPr>
        <w:t>点击申请按钮，填写个人基础数据；预计进校时间和预计离校时间为访客在校的时间段，</w:t>
      </w:r>
      <w:r>
        <w:rPr>
          <w:rFonts w:hint="eastAsia"/>
          <w:color w:val="FF0000"/>
        </w:rPr>
        <w:t>此时间段是限制访客入校时间，访客行程码和健康码需压缩成zip格式，作为附件进行上传。</w:t>
      </w:r>
    </w:p>
    <w:p>
      <w:r>
        <w:drawing>
          <wp:inline distT="0" distB="0" distL="114300" distR="114300">
            <wp:extent cx="5266690" cy="2670810"/>
            <wp:effectExtent l="0" t="0" r="63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点击外来人员信息下方的添加按钮，按照系统所列字段添加访客信息（若库中存在访客信息，输入姓名直接带出）；</w:t>
      </w:r>
    </w:p>
    <w:p>
      <w:r>
        <w:rPr>
          <w:rFonts w:hint="eastAsia"/>
        </w:rPr>
        <w:t>也可以通过excel直接入到访客信息，点击导入按钮，下载导入模板维护好访客信息直接导入系统即可。</w:t>
      </w:r>
    </w:p>
    <w:p>
      <w:r>
        <w:drawing>
          <wp:inline distT="0" distB="0" distL="114300" distR="114300">
            <wp:extent cx="5266690" cy="2670810"/>
            <wp:effectExtent l="0" t="0" r="63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670810"/>
            <wp:effectExtent l="0" t="0" r="63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</w:pPr>
      <w:bookmarkStart w:id="4" w:name="_Toc2782"/>
      <w:r>
        <w:rPr>
          <w:rFonts w:hint="eastAsia"/>
        </w:rPr>
        <w:t>审核</w:t>
      </w:r>
      <w:bookmarkEnd w:id="4"/>
    </w:p>
    <w:p>
      <w:pPr>
        <w:numPr>
          <w:ilvl w:val="0"/>
          <w:numId w:val="2"/>
        </w:numPr>
      </w:pPr>
      <w:r>
        <w:rPr>
          <w:rFonts w:hint="eastAsia"/>
        </w:rPr>
        <w:t>通过门户首页任务中心、i上商任务中心、i上商app消息均可提醒；直接点击前往服务，可以看到具体的申请数据和访客信息；信息确认无误后，直接同意即可。</w:t>
      </w:r>
    </w:p>
    <w:p>
      <w:r>
        <w:drawing>
          <wp:inline distT="0" distB="0" distL="114300" distR="114300">
            <wp:extent cx="5266690" cy="2670810"/>
            <wp:effectExtent l="0" t="0" r="63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17246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</w:pPr>
      <w:r>
        <w:rPr>
          <w:rFonts w:hint="eastAsia"/>
        </w:rPr>
        <w:t>在综合服务平台上找到访客信息，进入到系统后找到审核菜单，点击列表中的审核按钮，核对申请信息和访客，直接点击最底部的同意即为审核通过。</w:t>
      </w:r>
    </w:p>
    <w:p>
      <w:r>
        <w:drawing>
          <wp:inline distT="0" distB="0" distL="114300" distR="114300">
            <wp:extent cx="5266690" cy="2670810"/>
            <wp:effectExtent l="0" t="0" r="635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670810"/>
            <wp:effectExtent l="0" t="0" r="63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172460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bookmarkStart w:id="5" w:name="_Toc23737"/>
      <w:r>
        <w:rPr>
          <w:rFonts w:hint="eastAsia"/>
        </w:rPr>
        <w:t>手机端</w:t>
      </w:r>
      <w:bookmarkEnd w:id="5"/>
    </w:p>
    <w:p>
      <w:pPr>
        <w:pStyle w:val="3"/>
        <w:numPr>
          <w:ilvl w:val="1"/>
          <w:numId w:val="1"/>
        </w:numPr>
      </w:pPr>
      <w:bookmarkStart w:id="6" w:name="_Toc1309"/>
      <w:r>
        <w:rPr>
          <w:rFonts w:hint="eastAsia"/>
        </w:rPr>
        <w:t>入口</w:t>
      </w:r>
      <w:bookmarkEnd w:id="6"/>
    </w:p>
    <w:p>
      <w:r>
        <w:rPr>
          <w:rFonts w:hint="eastAsia"/>
        </w:rPr>
        <w:t>使用i上商应用，通过学工号进行登录，进入到客户端首页后，点击搜索按钮，搜索《校外人员进校》</w:t>
      </w:r>
    </w:p>
    <w:p>
      <w:r>
        <w:drawing>
          <wp:inline distT="0" distB="0" distL="114300" distR="114300">
            <wp:extent cx="2076450" cy="44100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找到应用后，点击直接进入到应用；</w:t>
      </w:r>
    </w:p>
    <w:p>
      <w:r>
        <w:drawing>
          <wp:inline distT="0" distB="0" distL="0" distR="0">
            <wp:extent cx="2456815" cy="7958455"/>
            <wp:effectExtent l="0" t="0" r="635" b="4445"/>
            <wp:docPr id="17" name="图片 17" descr="C:\Users\hzj\AppData\Local\Temp\WeChat Files\b7c69bbfd6e94e9abcd677aee572c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hzj\AppData\Local\Temp\WeChat Files\b7c69bbfd6e94e9abcd677aee572cb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3247" cy="807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35175" cy="8004175"/>
            <wp:effectExtent l="0" t="0" r="3175" b="0"/>
            <wp:docPr id="18" name="图片 18" descr="C:\Users\hzj\AppData\Local\Temp\WeChat Files\ad42d1ff9fb7a5b777431f01877a8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hzj\AppData\Local\Temp\WeChat Files\ad42d1ff9fb7a5b777431f01877a82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800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</w:pPr>
      <w:bookmarkStart w:id="7" w:name="_Toc19269"/>
      <w:r>
        <w:rPr>
          <w:rFonts w:hint="eastAsia"/>
        </w:rPr>
        <w:t>申请</w:t>
      </w:r>
      <w:bookmarkEnd w:id="7"/>
    </w:p>
    <w:p>
      <w:r>
        <w:rPr>
          <w:rFonts w:hint="eastAsia"/>
        </w:rPr>
        <w:t>应用首页页面显示以往申请记录，点击某一条记录可以查看详情；</w:t>
      </w:r>
    </w:p>
    <w:p>
      <w:r>
        <w:drawing>
          <wp:inline distT="0" distB="0" distL="114300" distR="114300">
            <wp:extent cx="2062480" cy="4300855"/>
            <wp:effectExtent l="0" t="0" r="4445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73935" cy="4323080"/>
            <wp:effectExtent l="0" t="0" r="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9794" cy="435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点击右下角的加号，按照字段内容如实填写个人信息，维护好访客数据后，点击左下角的提交按钮。</w:t>
      </w:r>
    </w:p>
    <w:p>
      <w:r>
        <w:drawing>
          <wp:inline distT="0" distB="0" distL="114300" distR="114300">
            <wp:extent cx="2424430" cy="4529455"/>
            <wp:effectExtent l="0" t="0" r="4445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9825" cy="4500880"/>
            <wp:effectExtent l="0" t="0" r="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45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85975" cy="444817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</w:pPr>
      <w:bookmarkStart w:id="8" w:name="_Toc12103"/>
      <w:r>
        <w:rPr>
          <w:rFonts w:hint="eastAsia"/>
        </w:rPr>
        <w:t>审核</w:t>
      </w:r>
      <w:bookmarkEnd w:id="8"/>
    </w:p>
    <w:p>
      <w:pPr>
        <w:pStyle w:val="4"/>
        <w:numPr>
          <w:ilvl w:val="2"/>
          <w:numId w:val="1"/>
        </w:numPr>
        <w:ind w:left="709" w:leftChars="0" w:hanging="709" w:firstLineChars="0"/>
        <w:rPr>
          <w:rFonts w:hint="eastAsia"/>
        </w:rPr>
      </w:pPr>
      <w:r>
        <w:rPr>
          <w:rFonts w:hint="eastAsia"/>
        </w:rPr>
        <w:t>任务中心审核</w:t>
      </w:r>
    </w:p>
    <w:p>
      <w:pPr>
        <w:numPr>
          <w:ilvl w:val="0"/>
          <w:numId w:val="3"/>
        </w:numPr>
      </w:pPr>
      <w:r>
        <w:rPr>
          <w:rFonts w:hint="eastAsia"/>
        </w:rPr>
        <w:t>在应用首页点击最下方的工作按钮，进入到工作的界面，若有审核数据，在待办中有校外人员进行校应用提醒。直接点击待办任务进入，点击《前往应用》</w:t>
      </w:r>
    </w:p>
    <w:p>
      <w:r>
        <w:drawing>
          <wp:inline distT="0" distB="0" distL="114300" distR="114300">
            <wp:extent cx="2005330" cy="4291330"/>
            <wp:effectExtent l="0" t="0" r="4445" b="4445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42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47875" cy="4343400"/>
            <wp:effectExtent l="0" t="0" r="0" b="0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95575" cy="4486275"/>
            <wp:effectExtent l="0" t="0" r="0" b="0"/>
            <wp:docPr id="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33930" cy="4429125"/>
            <wp:effectExtent l="0" t="0" r="4445" b="0"/>
            <wp:docPr id="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2"/>
          <w:numId w:val="1"/>
        </w:numPr>
        <w:ind w:left="709" w:leftChars="0" w:hanging="709" w:firstLineChars="0"/>
        <w:rPr>
          <w:rFonts w:hint="eastAsia" w:asciiTheme="minorHAnsi" w:hAnsiTheme="minorHAnsi" w:eastAsiaTheme="minorEastAsia" w:cstheme="minorBidi"/>
          <w:b/>
          <w:kern w:val="2"/>
          <w:sz w:val="32"/>
          <w:szCs w:val="22"/>
          <w:lang w:val="en-US" w:eastAsia="zh-CN" w:bidi="ar-SA"/>
        </w:rPr>
      </w:pPr>
      <w:bookmarkStart w:id="9" w:name="_Toc17029"/>
      <w:r>
        <w:rPr>
          <w:rFonts w:hint="eastAsia" w:cstheme="minorBidi"/>
          <w:b/>
          <w:kern w:val="2"/>
          <w:sz w:val="32"/>
          <w:szCs w:val="22"/>
          <w:lang w:val="en-US" w:eastAsia="zh-CN" w:bidi="ar-SA"/>
        </w:rPr>
        <w:t>消息中心审核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在提醒数据少，可以分辨的情况下通过消息提醒内容点击进入到快速审核界面。</w:t>
      </w:r>
    </w:p>
    <w:p>
      <w:r>
        <w:drawing>
          <wp:inline distT="0" distB="0" distL="114300" distR="114300">
            <wp:extent cx="2453005" cy="4329430"/>
            <wp:effectExtent l="0" t="0" r="444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43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14855" cy="4234180"/>
            <wp:effectExtent l="0" t="0" r="4445" b="444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42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4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也可以通过移动app提醒的方式，打开需要审核的内容；直接点击提醒消息即可进入到快速审核界面。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2300605" cy="4338955"/>
            <wp:effectExtent l="0" t="0" r="4445" b="444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leftChars="0"/>
      </w:pPr>
      <w:r>
        <w:rPr>
          <w:rFonts w:hint="eastAsia"/>
          <w:lang w:val="en-US" w:eastAsia="zh-CN"/>
        </w:rPr>
        <w:t>校外人员自行申报</w:t>
      </w:r>
    </w:p>
    <w:p/>
    <w:p>
      <w:pPr>
        <w:pStyle w:val="3"/>
        <w:numPr>
          <w:ilvl w:val="1"/>
          <w:numId w:val="1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根据校内教职工提供二维码，校外人员自主扫码，通过验证码的方式进行登录提报。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电脑端二维码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2532380"/>
            <wp:effectExtent l="0" t="0" r="2540" b="127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移动端二维码</w:t>
      </w:r>
    </w:p>
    <w:p>
      <w:pPr>
        <w:bidi w:val="0"/>
      </w:pPr>
      <w:r>
        <w:drawing>
          <wp:inline distT="0" distB="0" distL="0" distR="0">
            <wp:extent cx="2273935" cy="4323080"/>
            <wp:effectExtent l="0" t="0" r="254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9794" cy="435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1"/>
          <w:numId w:val="1"/>
        </w:numPr>
        <w:bidi w:val="0"/>
        <w:ind w:left="567" w:leftChars="0" w:hanging="567" w:firstLineChars="0"/>
      </w:pPr>
      <w:r>
        <w:rPr>
          <w:rFonts w:hint="eastAsia"/>
          <w:lang w:val="en-US" w:eastAsia="zh-CN"/>
        </w:rPr>
        <w:t>扫码登录填写</w:t>
      </w:r>
    </w:p>
    <w:p>
      <w:pPr>
        <w:numPr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校外人员通过二维码登录，进校手机号短信验证码方式登录后；</w:t>
      </w:r>
    </w:p>
    <w:p>
      <w:pPr>
        <w:numPr>
          <w:numId w:val="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首页可以查看以往申请记录，或点击申请记录查看状态。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点击右下角的加号，按照页面设置的字段内容填写完毕后，点击提交即可（被访问老师信息不能修改，否则提交是系统会校验信息有误）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附件内容核酸报告、行程码、健康码。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校外人员信息填写有误后，在未审核的情况下，可自行撤回重新编辑</w:t>
      </w:r>
    </w:p>
    <w:p>
      <w:pPr>
        <w:bidi w:val="0"/>
      </w:pPr>
      <w:r>
        <w:drawing>
          <wp:inline distT="0" distB="0" distL="114300" distR="114300">
            <wp:extent cx="2176780" cy="4100830"/>
            <wp:effectExtent l="0" t="0" r="4445" b="444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81555" cy="4295775"/>
            <wp:effectExtent l="0" t="0" r="4445" b="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362200" cy="4262755"/>
            <wp:effectExtent l="0" t="0" r="0" b="4445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手机开启app提醒功能</w:t>
      </w:r>
    </w:p>
    <w:p>
      <w:pPr>
        <w:pStyle w:val="3"/>
        <w:numPr>
          <w:ilvl w:val="1"/>
          <w:numId w:val="1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苹果系统操作方式（ios13.6.1）</w:t>
      </w:r>
    </w:p>
    <w:p>
      <w:pPr>
        <w:numPr>
          <w:ilvl w:val="0"/>
          <w:numId w:val="6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找到系统设置按钮，点击进入。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733675" cy="5911850"/>
            <wp:effectExtent l="0" t="0" r="0" b="3175"/>
            <wp:docPr id="33" name="图片 33" descr="lQDPDhtXwp6zTovNBQDNAlCwbMzLmtjqT90CYHWlnAD3AA_592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lQDPDhtXwp6zTovNBQDNAlCwbMzLmtjqT90CYHWlnAD3AA_592_128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591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进入设置后，找到安装的应用《i上商》，或者在第一栏的搜索框中进行应用搜索。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27655" cy="6115050"/>
            <wp:effectExtent l="0" t="0" r="1270" b="0"/>
            <wp:docPr id="34" name="图片 34" descr="lQDPDhtXwp9L4XrNBQDNAlCwy6AE5DDQcH4CYHWm6wD3AA_592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lQDPDhtXwp9L4XrNBQDNAlCwy6AE5DDQcH4CYHWm6wD3AA_592_128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点击进入i上商，再点击通知按钮。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81275" cy="5582285"/>
            <wp:effectExtent l="0" t="0" r="0" b="8890"/>
            <wp:docPr id="35" name="图片 35" descr="lQDPDhtXwqjVTGvNBQDNAlCwTBuUmxrJLfUCYHW2iwAHAA_592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lQDPDhtXwqjVTGvNBQDNAlCwTBuUmxrJLfUCYHW2iwAHAA_592_128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558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把允许通知打开，显示效果根据自己个人习惯进行设定即可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199640" cy="4756785"/>
            <wp:effectExtent l="0" t="0" r="635" b="5715"/>
            <wp:docPr id="37" name="图片 37" descr="lQDPDhtXwqlt4HXNBQDNAlCwhwJuRJA-G6ECYHW3ewAHAA_592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lQDPDhtXwqlt4HXNBQDNAlCwhwJuRJA-G6ECYHW3ewAHAA_592_128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475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1"/>
          <w:numId w:val="1"/>
        </w:numPr>
        <w:bidi w:val="0"/>
        <w:ind w:left="567" w:leftChars="0" w:hanging="567" w:firstLineChars="0"/>
        <w:rPr>
          <w:rFonts w:hint="eastAsia"/>
          <w:lang w:val="en-US" w:eastAsia="zh-CN"/>
        </w:rPr>
      </w:pPr>
      <w:bookmarkStart w:id="10" w:name="_GoBack"/>
      <w:bookmarkEnd w:id="10"/>
      <w:r>
        <w:rPr>
          <w:rFonts w:hint="eastAsia"/>
          <w:lang w:val="en-US" w:eastAsia="zh-CN"/>
        </w:rPr>
        <w:t>华为手机（harmonyOS）操作步骤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点击设置--》应用和服务--》应用管理--搜索《i上商》--点击进入--点击通知管理--点击运行通知并桌面图标通知</w:t>
      </w:r>
    </w:p>
    <w:p>
      <w:r>
        <w:drawing>
          <wp:inline distT="0" distB="0" distL="114300" distR="114300">
            <wp:extent cx="2076450" cy="4352925"/>
            <wp:effectExtent l="0" t="0" r="0" b="0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95525" cy="4386580"/>
            <wp:effectExtent l="0" t="0" r="0" b="444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43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428875" cy="4538980"/>
            <wp:effectExtent l="0" t="0" r="0" b="4445"/>
            <wp:docPr id="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5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33600" cy="4352925"/>
            <wp:effectExtent l="0" t="0" r="0" b="0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043430" cy="4577080"/>
            <wp:effectExtent l="0" t="0" r="4445" b="4445"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45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NJWO7QAAAABQEAAA8AAAAAAAAAAQAgAAAAIgAA&#10;AGRycy9kb3ducmV2LnhtbFBLAQIUABQAAAAIAIdO4kBskhDNEAIAAAkEAAAOAAAAAAAAAAEAIAAA&#10;AB8BAABkcnMvZTJvRG9jLnhtbFBLBQYAAAAABgAGAFkBAACh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76053E"/>
    <w:multiLevelType w:val="singleLevel"/>
    <w:tmpl w:val="8876053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EF4403AC"/>
    <w:multiLevelType w:val="singleLevel"/>
    <w:tmpl w:val="EF4403A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F1089A56"/>
    <w:multiLevelType w:val="singleLevel"/>
    <w:tmpl w:val="F1089A5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23BB3F11"/>
    <w:multiLevelType w:val="multilevel"/>
    <w:tmpl w:val="23BB3F1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4">
    <w:nsid w:val="53D9DC8B"/>
    <w:multiLevelType w:val="singleLevel"/>
    <w:tmpl w:val="53D9DC8B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567E6CCF"/>
    <w:multiLevelType w:val="singleLevel"/>
    <w:tmpl w:val="567E6CC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0B9"/>
    <w:rsid w:val="00081A1A"/>
    <w:rsid w:val="00104FD0"/>
    <w:rsid w:val="00270F33"/>
    <w:rsid w:val="002A0198"/>
    <w:rsid w:val="005440B9"/>
    <w:rsid w:val="005F7E4E"/>
    <w:rsid w:val="00615B23"/>
    <w:rsid w:val="006A67C6"/>
    <w:rsid w:val="006D74F2"/>
    <w:rsid w:val="00762918"/>
    <w:rsid w:val="007E14AB"/>
    <w:rsid w:val="00887D3C"/>
    <w:rsid w:val="00967A2C"/>
    <w:rsid w:val="00B006A0"/>
    <w:rsid w:val="00B9541F"/>
    <w:rsid w:val="00C449B2"/>
    <w:rsid w:val="00D40E17"/>
    <w:rsid w:val="00E32184"/>
    <w:rsid w:val="00E715D7"/>
    <w:rsid w:val="022F4C00"/>
    <w:rsid w:val="03D601AE"/>
    <w:rsid w:val="097337E6"/>
    <w:rsid w:val="0BDD4DF4"/>
    <w:rsid w:val="109A49F1"/>
    <w:rsid w:val="17A74EB4"/>
    <w:rsid w:val="1A6E465A"/>
    <w:rsid w:val="26F45E99"/>
    <w:rsid w:val="289567C3"/>
    <w:rsid w:val="29EA20B1"/>
    <w:rsid w:val="2ADE60BD"/>
    <w:rsid w:val="2DC12F1C"/>
    <w:rsid w:val="30EE2971"/>
    <w:rsid w:val="363C2893"/>
    <w:rsid w:val="3668409A"/>
    <w:rsid w:val="372D7006"/>
    <w:rsid w:val="3D6A5FD1"/>
    <w:rsid w:val="3E837555"/>
    <w:rsid w:val="3F544EA8"/>
    <w:rsid w:val="4C2A3A5E"/>
    <w:rsid w:val="4CDC395F"/>
    <w:rsid w:val="4F1A2DA7"/>
    <w:rsid w:val="57603ED1"/>
    <w:rsid w:val="5B1F0B38"/>
    <w:rsid w:val="5DD431D2"/>
    <w:rsid w:val="60837E17"/>
    <w:rsid w:val="625F54A2"/>
    <w:rsid w:val="66E2730A"/>
    <w:rsid w:val="671719D8"/>
    <w:rsid w:val="68ED338B"/>
    <w:rsid w:val="694F7A61"/>
    <w:rsid w:val="6C7B4798"/>
    <w:rsid w:val="6D4D1B93"/>
    <w:rsid w:val="6EFF2E29"/>
    <w:rsid w:val="7485239B"/>
    <w:rsid w:val="7BBA794D"/>
    <w:rsid w:val="7C021FC9"/>
    <w:rsid w:val="7DF71865"/>
    <w:rsid w:val="7E2D5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字符"/>
    <w:basedOn w:val="8"/>
    <w:link w:val="6"/>
    <w:uiPriority w:val="99"/>
    <w:rPr>
      <w:sz w:val="18"/>
      <w:szCs w:val="18"/>
    </w:rPr>
  </w:style>
  <w:style w:type="character" w:customStyle="1" w:styleId="10">
    <w:name w:val="页脚 字符"/>
    <w:basedOn w:val="8"/>
    <w:link w:val="5"/>
    <w:uiPriority w:val="99"/>
    <w:rPr>
      <w:sz w:val="18"/>
      <w:szCs w:val="18"/>
    </w:rPr>
  </w:style>
  <w:style w:type="character" w:customStyle="1" w:styleId="11">
    <w:name w:val="标题 1 字符"/>
    <w:basedOn w:val="8"/>
    <w:link w:val="2"/>
    <w:uiPriority w:val="9"/>
    <w:rPr>
      <w:b/>
      <w:bCs/>
      <w:kern w:val="44"/>
      <w:sz w:val="44"/>
      <w:szCs w:val="44"/>
    </w:rPr>
  </w:style>
  <w:style w:type="paragraph" w:customStyle="1" w:styleId="12">
    <w:name w:val="WPSOffice手动目录 1"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3">
    <w:name w:val="WPSOffice手动目录 2"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240</Words>
  <Characters>1371</Characters>
  <Lines>11</Lines>
  <Paragraphs>3</Paragraphs>
  <TotalTime>38</TotalTime>
  <ScaleCrop>false</ScaleCrop>
  <LinksUpToDate>false</LinksUpToDate>
  <CharactersWithSpaces>1608</CharactersWithSpaces>
  <Application>WPS Office_11.1.0.9914_F1E327BC-269C-435d-A152-05C5408002CA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2022-03-10T11:33:00Z</dcterms:created>
  <dc:creator>hzj</dc:creator>
  <cp:lastModifiedBy>胡郑杰</cp:lastModifiedBy>
  <dcterms:modified xsi:type="dcterms:W3CDTF">2022-06-09T12:58:02Z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2052-11.1.0.9914</vt:lpwstr>
  </property>
</Properties>
</file>